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E0" w:rsidRPr="002915E0" w:rsidRDefault="002915E0" w:rsidP="002915E0">
      <w:pPr>
        <w:widowControl/>
        <w:rPr>
          <w:rFonts w:ascii="Calibri" w:eastAsia="新細明體" w:hAnsi="Calibri" w:cs="Calibri"/>
          <w:color w:val="000000"/>
          <w:kern w:val="0"/>
          <w:szCs w:val="24"/>
        </w:rPr>
      </w:pPr>
      <w:r w:rsidRPr="002915E0">
        <w:rPr>
          <w:rFonts w:ascii="微軟正黑體" w:eastAsia="微軟正黑體" w:hAnsi="微軟正黑體" w:cs="Calibri" w:hint="eastAsia"/>
          <w:color w:val="000000"/>
          <w:kern w:val="0"/>
          <w:szCs w:val="24"/>
        </w:rPr>
        <w:t>富邦慈善基金會｢2024潛力之星獎學金｣計畫已開放申請至9/30(一)截止，歡迎同學們踴躍申請!</w:t>
      </w:r>
    </w:p>
    <w:p w:rsidR="002915E0" w:rsidRPr="002915E0" w:rsidRDefault="002915E0" w:rsidP="002915E0">
      <w:pPr>
        <w:widowControl/>
        <w:rPr>
          <w:rFonts w:ascii="Calibri" w:eastAsia="新細明體" w:hAnsi="Calibri" w:cs="Calibri"/>
          <w:color w:val="000000"/>
          <w:kern w:val="0"/>
          <w:szCs w:val="24"/>
        </w:rPr>
      </w:pPr>
      <w:r w:rsidRPr="002915E0">
        <w:rPr>
          <w:rFonts w:ascii="微軟正黑體" w:eastAsia="微軟正黑體" w:hAnsi="微軟正黑體" w:cs="Calibri" w:hint="eastAsia"/>
          <w:color w:val="000000"/>
          <w:kern w:val="0"/>
          <w:szCs w:val="24"/>
        </w:rPr>
        <w:t> </w:t>
      </w:r>
    </w:p>
    <w:p w:rsidR="002915E0" w:rsidRPr="002915E0" w:rsidRDefault="002915E0" w:rsidP="002915E0">
      <w:pPr>
        <w:widowControl/>
        <w:shd w:val="clear" w:color="auto" w:fill="FFFFFF"/>
        <w:rPr>
          <w:rFonts w:ascii="新細明體" w:eastAsia="新細明體" w:hAnsi="新細明體" w:cs="Times New Roman"/>
          <w:color w:val="000000"/>
          <w:kern w:val="0"/>
          <w:szCs w:val="24"/>
        </w:rPr>
      </w:pPr>
      <w:r w:rsidRPr="002915E0">
        <w:rPr>
          <w:rFonts w:ascii="微軟正黑體" w:eastAsia="微軟正黑體" w:hAnsi="微軟正黑體" w:cs="Times New Roman" w:hint="eastAsia"/>
          <w:color w:val="000000"/>
          <w:kern w:val="0"/>
          <w:szCs w:val="24"/>
        </w:rPr>
        <w:t>一、申請條件：</w:t>
      </w:r>
    </w:p>
    <w:p w:rsidR="002915E0" w:rsidRPr="002915E0" w:rsidRDefault="002915E0" w:rsidP="002915E0">
      <w:pPr>
        <w:widowControl/>
        <w:shd w:val="clear" w:color="auto" w:fill="FFFFFF"/>
        <w:rPr>
          <w:rFonts w:ascii="新細明體" w:eastAsia="新細明體" w:hAnsi="新細明體" w:cs="Times New Roman"/>
          <w:color w:val="000000"/>
          <w:kern w:val="0"/>
          <w:szCs w:val="24"/>
        </w:rPr>
      </w:pPr>
      <w:r w:rsidRPr="002915E0">
        <w:rPr>
          <w:rFonts w:ascii="微軟正黑體" w:eastAsia="微軟正黑體" w:hAnsi="微軟正黑體" w:cs="Times New Roman" w:hint="eastAsia"/>
          <w:color w:val="000000"/>
          <w:kern w:val="0"/>
          <w:szCs w:val="24"/>
        </w:rPr>
        <w:t>    (一)必要項</w:t>
      </w:r>
    </w:p>
    <w:p w:rsidR="002915E0" w:rsidRPr="002915E0" w:rsidRDefault="002915E0" w:rsidP="002915E0">
      <w:pPr>
        <w:widowControl/>
        <w:shd w:val="clear" w:color="auto" w:fill="FFFFFF"/>
        <w:spacing w:before="100" w:beforeAutospacing="1"/>
        <w:ind w:left="766" w:hanging="284"/>
        <w:rPr>
          <w:rFonts w:ascii="新細明體" w:eastAsia="新細明體" w:hAnsi="新細明體" w:cs="Times New Roman"/>
          <w:color w:val="000000"/>
          <w:kern w:val="0"/>
          <w:szCs w:val="24"/>
        </w:rPr>
      </w:pPr>
      <w:r w:rsidRPr="002915E0">
        <w:rPr>
          <w:rFonts w:ascii="Wingdings" w:eastAsia="新細明體" w:hAnsi="Wingdings" w:cs="Times New Roman"/>
          <w:color w:val="000000"/>
          <w:kern w:val="0"/>
          <w:szCs w:val="24"/>
        </w:rPr>
        <w:t></w:t>
      </w:r>
      <w:r w:rsidRPr="002915E0">
        <w:rPr>
          <w:rFonts w:ascii="Times New Roman" w:eastAsia="新細明體" w:hAnsi="Times New Roman" w:cs="Times New Roman"/>
          <w:color w:val="000000"/>
          <w:kern w:val="0"/>
          <w:sz w:val="14"/>
          <w:szCs w:val="14"/>
        </w:rPr>
        <w:t>  </w:t>
      </w:r>
      <w:r w:rsidRPr="002915E0">
        <w:rPr>
          <w:rFonts w:ascii="微軟正黑體" w:eastAsia="微軟正黑體" w:hAnsi="微軟正黑體" w:cs="Times New Roman" w:hint="eastAsia"/>
          <w:color w:val="000000"/>
          <w:kern w:val="0"/>
          <w:szCs w:val="24"/>
        </w:rPr>
        <w:t>具中華民國國籍。</w:t>
      </w:r>
    </w:p>
    <w:p w:rsidR="002915E0" w:rsidRPr="002915E0" w:rsidRDefault="002915E0" w:rsidP="002915E0">
      <w:pPr>
        <w:widowControl/>
        <w:shd w:val="clear" w:color="auto" w:fill="FFFFFF"/>
        <w:spacing w:before="100" w:beforeAutospacing="1"/>
        <w:ind w:left="766" w:hanging="284"/>
        <w:rPr>
          <w:rFonts w:ascii="新細明體" w:eastAsia="新細明體" w:hAnsi="新細明體" w:cs="Times New Roman"/>
          <w:color w:val="000000"/>
          <w:kern w:val="0"/>
          <w:szCs w:val="24"/>
        </w:rPr>
      </w:pPr>
      <w:r w:rsidRPr="002915E0">
        <w:rPr>
          <w:rFonts w:ascii="Wingdings" w:eastAsia="新細明體" w:hAnsi="Wingdings" w:cs="Times New Roman"/>
          <w:color w:val="000000"/>
          <w:kern w:val="0"/>
          <w:szCs w:val="24"/>
        </w:rPr>
        <w:t></w:t>
      </w:r>
      <w:r w:rsidRPr="002915E0">
        <w:rPr>
          <w:rFonts w:ascii="Times New Roman" w:eastAsia="新細明體" w:hAnsi="Times New Roman" w:cs="Times New Roman"/>
          <w:color w:val="000000"/>
          <w:kern w:val="0"/>
          <w:sz w:val="14"/>
          <w:szCs w:val="14"/>
        </w:rPr>
        <w:t>  </w:t>
      </w:r>
      <w:r w:rsidRPr="002915E0">
        <w:rPr>
          <w:rFonts w:ascii="微軟正黑體" w:eastAsia="微軟正黑體" w:hAnsi="微軟正黑體" w:cs="Times New Roman" w:hint="eastAsia"/>
          <w:color w:val="000000"/>
          <w:kern w:val="0"/>
          <w:szCs w:val="24"/>
        </w:rPr>
        <w:t>為國內教育部立案之大學及研究所在校生(包含一般大學、技職校院、專科院校及空中大學等)，不包含在職專班或學分班。</w:t>
      </w:r>
    </w:p>
    <w:p w:rsidR="002915E0" w:rsidRPr="002915E0" w:rsidRDefault="002915E0" w:rsidP="002915E0">
      <w:pPr>
        <w:widowControl/>
        <w:shd w:val="clear" w:color="auto" w:fill="FFFFFF"/>
        <w:spacing w:before="100" w:beforeAutospacing="1"/>
        <w:ind w:left="766" w:hanging="284"/>
        <w:rPr>
          <w:rFonts w:ascii="新細明體" w:eastAsia="新細明體" w:hAnsi="新細明體" w:cs="Times New Roman"/>
          <w:color w:val="000000"/>
          <w:kern w:val="0"/>
          <w:szCs w:val="24"/>
        </w:rPr>
      </w:pPr>
      <w:r w:rsidRPr="002915E0">
        <w:rPr>
          <w:rFonts w:ascii="Wingdings" w:eastAsia="新細明體" w:hAnsi="Wingdings" w:cs="Times New Roman"/>
          <w:color w:val="000000"/>
          <w:kern w:val="0"/>
          <w:szCs w:val="24"/>
        </w:rPr>
        <w:t></w:t>
      </w:r>
      <w:r w:rsidRPr="002915E0">
        <w:rPr>
          <w:rFonts w:ascii="Times New Roman" w:eastAsia="新細明體" w:hAnsi="Times New Roman" w:cs="Times New Roman"/>
          <w:color w:val="000000"/>
          <w:kern w:val="0"/>
          <w:sz w:val="14"/>
          <w:szCs w:val="14"/>
        </w:rPr>
        <w:t>  </w:t>
      </w:r>
      <w:r w:rsidRPr="002915E0">
        <w:rPr>
          <w:rFonts w:ascii="微軟正黑體" w:eastAsia="微軟正黑體" w:hAnsi="微軟正黑體" w:cs="Times New Roman" w:hint="eastAsia"/>
          <w:color w:val="000000"/>
          <w:kern w:val="0"/>
          <w:szCs w:val="24"/>
        </w:rPr>
        <w:t>112學年度上下學期，大學或研究所學業成績總平均八十分以上且無重大違規紀錄。</w:t>
      </w:r>
    </w:p>
    <w:p w:rsidR="002915E0" w:rsidRPr="002915E0" w:rsidRDefault="002915E0" w:rsidP="002915E0">
      <w:pPr>
        <w:widowControl/>
        <w:shd w:val="clear" w:color="auto" w:fill="FFFFFF"/>
        <w:rPr>
          <w:rFonts w:ascii="Calibri" w:eastAsia="新細明體" w:hAnsi="Calibri" w:cs="Calibri"/>
          <w:color w:val="000000"/>
          <w:kern w:val="0"/>
          <w:szCs w:val="24"/>
        </w:rPr>
      </w:pPr>
      <w:r w:rsidRPr="002915E0">
        <w:rPr>
          <w:rFonts w:ascii="微軟正黑體" w:eastAsia="微軟正黑體" w:hAnsi="微軟正黑體" w:cs="Calibri" w:hint="eastAsia"/>
          <w:color w:val="000000"/>
          <w:kern w:val="0"/>
          <w:szCs w:val="24"/>
        </w:rPr>
        <w:t>   (二)加分項 (提出相關證明者，優先核給)</w:t>
      </w:r>
    </w:p>
    <w:p w:rsidR="002915E0" w:rsidRPr="002915E0" w:rsidRDefault="002915E0" w:rsidP="002915E0">
      <w:pPr>
        <w:widowControl/>
        <w:shd w:val="clear" w:color="auto" w:fill="FFFFFF"/>
        <w:ind w:left="766" w:hanging="284"/>
        <w:rPr>
          <w:rFonts w:ascii="Calibri" w:eastAsia="新細明體" w:hAnsi="Calibri" w:cs="Calibri"/>
          <w:color w:val="000000"/>
          <w:kern w:val="0"/>
          <w:szCs w:val="24"/>
        </w:rPr>
      </w:pPr>
      <w:bookmarkStart w:id="0" w:name="_GoBack"/>
      <w:r w:rsidRPr="002915E0">
        <w:rPr>
          <w:rFonts w:ascii="Wingdings" w:eastAsia="新細明體" w:hAnsi="Wingdings" w:cs="Calibri"/>
          <w:color w:val="000000"/>
          <w:kern w:val="0"/>
          <w:szCs w:val="24"/>
        </w:rPr>
        <w:t></w:t>
      </w:r>
      <w:r w:rsidRPr="002915E0">
        <w:rPr>
          <w:rFonts w:ascii="Times New Roman" w:eastAsia="新細明體" w:hAnsi="Times New Roman" w:cs="Times New Roman"/>
          <w:color w:val="000000"/>
          <w:kern w:val="0"/>
          <w:sz w:val="14"/>
          <w:szCs w:val="14"/>
        </w:rPr>
        <w:t>  </w:t>
      </w:r>
      <w:r w:rsidRPr="002915E0">
        <w:rPr>
          <w:rFonts w:ascii="微軟正黑體" w:eastAsia="微軟正黑體" w:hAnsi="微軟正黑體" w:cs="Calibri" w:hint="eastAsia"/>
          <w:color w:val="000000"/>
          <w:kern w:val="0"/>
          <w:szCs w:val="24"/>
        </w:rPr>
        <w:t>縣市政府列冊之低收入戶、中低收入戶、領有政府核發之身心障礙證明、特殊境遇家庭子女、清寒及優秀之原住民或新住民子女</w:t>
      </w:r>
    </w:p>
    <w:p w:rsidR="002915E0" w:rsidRPr="002915E0" w:rsidRDefault="002915E0" w:rsidP="002915E0">
      <w:pPr>
        <w:widowControl/>
        <w:shd w:val="clear" w:color="auto" w:fill="FFFFFF"/>
        <w:ind w:left="480" w:firstLine="240"/>
        <w:rPr>
          <w:rFonts w:ascii="Calibri" w:eastAsia="新細明體" w:hAnsi="Calibri" w:cs="Calibri"/>
          <w:color w:val="000000"/>
          <w:kern w:val="0"/>
          <w:szCs w:val="24"/>
        </w:rPr>
      </w:pPr>
      <w:r w:rsidRPr="002915E0">
        <w:rPr>
          <w:rFonts w:ascii="微軟正黑體" w:eastAsia="微軟正黑體" w:hAnsi="微軟正黑體" w:cs="Calibri" w:hint="eastAsia"/>
          <w:color w:val="000000"/>
          <w:kern w:val="0"/>
          <w:szCs w:val="24"/>
        </w:rPr>
        <w:t>(父母一方為外籍，且在臺合法居留、定居或設有戶籍者)、其他經濟困難家庭，提出相關證明者，優先核給。</w:t>
      </w:r>
    </w:p>
    <w:bookmarkEnd w:id="0"/>
    <w:p w:rsidR="002915E0" w:rsidRPr="002915E0" w:rsidRDefault="002915E0" w:rsidP="002915E0">
      <w:pPr>
        <w:widowControl/>
        <w:shd w:val="clear" w:color="auto" w:fill="FFFFFF"/>
        <w:rPr>
          <w:rFonts w:ascii="Calibri" w:eastAsia="新細明體" w:hAnsi="Calibri" w:cs="Calibri"/>
          <w:color w:val="000000"/>
          <w:kern w:val="0"/>
          <w:szCs w:val="24"/>
        </w:rPr>
      </w:pPr>
      <w:r w:rsidRPr="002915E0">
        <w:rPr>
          <w:rFonts w:ascii="微軟正黑體" w:eastAsia="微軟正黑體" w:hAnsi="微軟正黑體" w:cs="Calibri" w:hint="eastAsia"/>
          <w:color w:val="000000"/>
          <w:kern w:val="0"/>
          <w:szCs w:val="24"/>
        </w:rPr>
        <w:t>    (三)補充說明</w:t>
      </w:r>
    </w:p>
    <w:p w:rsidR="002915E0" w:rsidRPr="002915E0" w:rsidRDefault="002915E0" w:rsidP="002915E0">
      <w:pPr>
        <w:widowControl/>
        <w:shd w:val="clear" w:color="auto" w:fill="FFFFFF"/>
        <w:ind w:left="766" w:hanging="284"/>
        <w:rPr>
          <w:rFonts w:ascii="Calibri" w:eastAsia="新細明體" w:hAnsi="Calibri" w:cs="Calibri"/>
          <w:color w:val="000000"/>
          <w:kern w:val="0"/>
          <w:szCs w:val="24"/>
        </w:rPr>
      </w:pPr>
      <w:r w:rsidRPr="002915E0">
        <w:rPr>
          <w:rFonts w:ascii="Wingdings" w:eastAsia="新細明體" w:hAnsi="Wingdings" w:cs="Calibri"/>
          <w:color w:val="000000"/>
          <w:kern w:val="0"/>
          <w:szCs w:val="24"/>
        </w:rPr>
        <w:t></w:t>
      </w:r>
      <w:r w:rsidRPr="002915E0">
        <w:rPr>
          <w:rFonts w:ascii="Times New Roman" w:eastAsia="新細明體" w:hAnsi="Times New Roman" w:cs="Times New Roman"/>
          <w:color w:val="000000"/>
          <w:kern w:val="0"/>
          <w:sz w:val="14"/>
          <w:szCs w:val="14"/>
        </w:rPr>
        <w:t>  </w:t>
      </w:r>
      <w:r w:rsidRPr="002915E0">
        <w:rPr>
          <w:rFonts w:ascii="微軟正黑體" w:eastAsia="微軟正黑體" w:hAnsi="微軟正黑體" w:cs="Calibri" w:hint="eastAsia"/>
          <w:color w:val="000000"/>
          <w:kern w:val="0"/>
          <w:szCs w:val="24"/>
        </w:rPr>
        <w:t>113學年入學新生若無大專院校或研究所112學年上下學期成績，則不符申請資格。</w:t>
      </w:r>
    </w:p>
    <w:p w:rsidR="002915E0" w:rsidRPr="002915E0" w:rsidRDefault="002915E0" w:rsidP="002915E0">
      <w:pPr>
        <w:widowControl/>
        <w:shd w:val="clear" w:color="auto" w:fill="FFFFFF"/>
        <w:ind w:left="766" w:hanging="284"/>
        <w:rPr>
          <w:rFonts w:ascii="Calibri" w:eastAsia="新細明體" w:hAnsi="Calibri" w:cs="Calibri"/>
          <w:color w:val="000000"/>
          <w:kern w:val="0"/>
          <w:szCs w:val="24"/>
        </w:rPr>
      </w:pPr>
      <w:r w:rsidRPr="002915E0">
        <w:rPr>
          <w:rFonts w:ascii="Wingdings" w:eastAsia="新細明體" w:hAnsi="Wingdings" w:cs="Calibri"/>
          <w:color w:val="000000"/>
          <w:kern w:val="0"/>
          <w:szCs w:val="24"/>
        </w:rPr>
        <w:lastRenderedPageBreak/>
        <w:t></w:t>
      </w:r>
      <w:r w:rsidRPr="002915E0">
        <w:rPr>
          <w:rFonts w:ascii="Times New Roman" w:eastAsia="新細明體" w:hAnsi="Times New Roman" w:cs="Times New Roman"/>
          <w:color w:val="000000"/>
          <w:kern w:val="0"/>
          <w:sz w:val="14"/>
          <w:szCs w:val="14"/>
        </w:rPr>
        <w:t>  </w:t>
      </w:r>
      <w:r w:rsidRPr="002915E0">
        <w:rPr>
          <w:rFonts w:ascii="微軟正黑體" w:eastAsia="微軟正黑體" w:hAnsi="微軟正黑體" w:cs="Calibri" w:hint="eastAsia"/>
          <w:color w:val="000000"/>
          <w:kern w:val="0"/>
          <w:szCs w:val="24"/>
        </w:rPr>
        <w:t>若學校成績非百分制，請提供分數轉換表佐證。</w:t>
      </w:r>
    </w:p>
    <w:p w:rsidR="002915E0" w:rsidRPr="002915E0" w:rsidRDefault="002915E0" w:rsidP="002915E0">
      <w:pPr>
        <w:widowControl/>
        <w:shd w:val="clear" w:color="auto" w:fill="FFFFFF"/>
        <w:spacing w:before="120"/>
        <w:rPr>
          <w:rFonts w:ascii="Calibri" w:eastAsia="新細明體" w:hAnsi="Calibri" w:cs="Calibri"/>
          <w:color w:val="000000"/>
          <w:kern w:val="0"/>
          <w:szCs w:val="24"/>
        </w:rPr>
      </w:pPr>
      <w:r w:rsidRPr="002915E0">
        <w:rPr>
          <w:rFonts w:ascii="微軟正黑體" w:eastAsia="微軟正黑體" w:hAnsi="微軟正黑體" w:cs="Calibri" w:hint="eastAsia"/>
          <w:color w:val="000000"/>
          <w:kern w:val="0"/>
          <w:szCs w:val="24"/>
        </w:rPr>
        <w:t>二、獎勵說明：</w:t>
      </w:r>
    </w:p>
    <w:p w:rsidR="002915E0" w:rsidRPr="002915E0" w:rsidRDefault="002915E0" w:rsidP="002915E0">
      <w:pPr>
        <w:widowControl/>
        <w:shd w:val="clear" w:color="auto" w:fill="FFFFFF"/>
        <w:rPr>
          <w:rFonts w:ascii="Calibri" w:eastAsia="新細明體" w:hAnsi="Calibri" w:cs="Calibri"/>
          <w:color w:val="000000"/>
          <w:kern w:val="0"/>
          <w:szCs w:val="24"/>
        </w:rPr>
      </w:pPr>
      <w:r w:rsidRPr="002915E0">
        <w:rPr>
          <w:rFonts w:ascii="微軟正黑體" w:eastAsia="微軟正黑體" w:hAnsi="微軟正黑體" w:cs="Calibri" w:hint="eastAsia"/>
          <w:color w:val="000000"/>
          <w:kern w:val="0"/>
          <w:szCs w:val="24"/>
        </w:rPr>
        <w:t>       1.獎學金：經內部審查後，</w:t>
      </w:r>
      <w:r w:rsidRPr="002915E0">
        <w:rPr>
          <w:rFonts w:ascii="微軟正黑體" w:eastAsia="微軟正黑體" w:hAnsi="微軟正黑體" w:cs="Calibri" w:hint="eastAsia"/>
          <w:b/>
          <w:bCs/>
          <w:color w:val="000000"/>
          <w:kern w:val="0"/>
          <w:szCs w:val="24"/>
        </w:rPr>
        <w:t>預計選出60名獲獎者</w:t>
      </w:r>
      <w:r w:rsidRPr="002915E0">
        <w:rPr>
          <w:rFonts w:ascii="微軟正黑體" w:eastAsia="微軟正黑體" w:hAnsi="微軟正黑體" w:cs="Calibri" w:hint="eastAsia"/>
          <w:color w:val="000000"/>
          <w:kern w:val="0"/>
          <w:szCs w:val="24"/>
        </w:rPr>
        <w:t>，每名補助新台幣5萬元整。</w:t>
      </w:r>
    </w:p>
    <w:p w:rsidR="002915E0" w:rsidRPr="002915E0" w:rsidRDefault="002915E0" w:rsidP="002915E0">
      <w:pPr>
        <w:widowControl/>
        <w:shd w:val="clear" w:color="auto" w:fill="FFFFFF"/>
        <w:ind w:firstLine="480"/>
        <w:rPr>
          <w:rFonts w:ascii="Calibri" w:eastAsia="新細明體" w:hAnsi="Calibri" w:cs="Calibri"/>
          <w:color w:val="000000"/>
          <w:kern w:val="0"/>
          <w:szCs w:val="24"/>
        </w:rPr>
      </w:pPr>
      <w:r w:rsidRPr="002915E0">
        <w:rPr>
          <w:rFonts w:ascii="微軟正黑體" w:eastAsia="微軟正黑體" w:hAnsi="微軟正黑體" w:cs="Calibri" w:hint="eastAsia"/>
          <w:color w:val="000000"/>
          <w:kern w:val="0"/>
          <w:szCs w:val="24"/>
        </w:rPr>
        <w:t>2.職場實習機會：此非強制性，獲獎者如有意願應徵富邦金控暨轄下子公司實習生職務，經自行提出申請後，可獲得優先參與甄選之機會(非保證錄取)。</w:t>
      </w:r>
    </w:p>
    <w:p w:rsidR="002915E0" w:rsidRPr="002915E0" w:rsidRDefault="002915E0" w:rsidP="002915E0">
      <w:pPr>
        <w:widowControl/>
        <w:shd w:val="clear" w:color="auto" w:fill="FFFFFF"/>
        <w:spacing w:before="120"/>
        <w:rPr>
          <w:rFonts w:ascii="Calibri" w:eastAsia="新細明體" w:hAnsi="Calibri" w:cs="Calibri"/>
          <w:color w:val="000000"/>
          <w:kern w:val="0"/>
          <w:szCs w:val="24"/>
        </w:rPr>
      </w:pPr>
      <w:r w:rsidRPr="002915E0">
        <w:rPr>
          <w:rFonts w:ascii="微軟正黑體" w:eastAsia="微軟正黑體" w:hAnsi="微軟正黑體" w:cs="Calibri" w:hint="eastAsia"/>
          <w:color w:val="000000"/>
          <w:kern w:val="0"/>
          <w:szCs w:val="24"/>
        </w:rPr>
        <w:t>三、申請方式及檢附資料</w:t>
      </w:r>
    </w:p>
    <w:p w:rsidR="002915E0" w:rsidRPr="002915E0" w:rsidRDefault="002915E0" w:rsidP="002915E0">
      <w:pPr>
        <w:widowControl/>
        <w:shd w:val="clear" w:color="auto" w:fill="FFFFFF"/>
        <w:ind w:left="482"/>
        <w:rPr>
          <w:rFonts w:ascii="Calibri" w:eastAsia="新細明體" w:hAnsi="Calibri" w:cs="Calibri"/>
          <w:color w:val="000000"/>
          <w:kern w:val="0"/>
          <w:szCs w:val="24"/>
        </w:rPr>
      </w:pPr>
      <w:r w:rsidRPr="002915E0">
        <w:rPr>
          <w:rFonts w:ascii="微軟正黑體" w:eastAsia="微軟正黑體" w:hAnsi="微軟正黑體" w:cs="Calibri" w:hint="eastAsia"/>
          <w:color w:val="000000"/>
          <w:kern w:val="0"/>
          <w:szCs w:val="24"/>
        </w:rPr>
        <w:t>請上富邦慈善基金會｢2024潛力之星獎學金｣活動公告連結：</w:t>
      </w:r>
      <w:hyperlink r:id="rId6" w:tgtFrame="_blank" w:history="1">
        <w:r w:rsidRPr="002915E0">
          <w:rPr>
            <w:rFonts w:ascii="微軟正黑體" w:eastAsia="微軟正黑體" w:hAnsi="微軟正黑體" w:cs="Calibri" w:hint="eastAsia"/>
            <w:color w:val="0563C1"/>
            <w:kern w:val="0"/>
            <w:szCs w:val="24"/>
          </w:rPr>
          <w:t>2024富邦潛力之星獎學金 | 富邦慈善基金會 (fuboncharity.org.tw)</w:t>
        </w:r>
      </w:hyperlink>
    </w:p>
    <w:p w:rsidR="002915E0" w:rsidRPr="002915E0" w:rsidRDefault="002915E0" w:rsidP="002915E0">
      <w:pPr>
        <w:widowControl/>
        <w:rPr>
          <w:rFonts w:ascii="Calibri" w:eastAsia="新細明體" w:hAnsi="Calibri" w:cs="Calibri"/>
          <w:color w:val="000000"/>
          <w:kern w:val="0"/>
          <w:szCs w:val="24"/>
        </w:rPr>
      </w:pPr>
      <w:r w:rsidRPr="002915E0">
        <w:rPr>
          <w:rFonts w:ascii="微軟正黑體" w:eastAsia="微軟正黑體" w:hAnsi="微軟正黑體" w:cs="Calibri" w:hint="eastAsia"/>
          <w:color w:val="000000"/>
          <w:kern w:val="0"/>
          <w:szCs w:val="24"/>
        </w:rPr>
        <w:t> </w:t>
      </w:r>
    </w:p>
    <w:p w:rsidR="002915E0" w:rsidRPr="002915E0" w:rsidRDefault="002915E0" w:rsidP="002915E0">
      <w:pPr>
        <w:widowControl/>
        <w:rPr>
          <w:rFonts w:ascii="Calibri" w:eastAsia="新細明體" w:hAnsi="Calibri" w:cs="Calibri"/>
          <w:color w:val="000000"/>
          <w:kern w:val="0"/>
          <w:szCs w:val="24"/>
        </w:rPr>
      </w:pPr>
      <w:r w:rsidRPr="002915E0">
        <w:rPr>
          <w:rFonts w:ascii="微軟正黑體" w:eastAsia="微軟正黑體" w:hAnsi="微軟正黑體" w:cs="Calibri" w:hint="eastAsia"/>
          <w:color w:val="000000"/>
          <w:kern w:val="0"/>
          <w:szCs w:val="24"/>
        </w:rPr>
        <w:t>四、專案聯繫窗口</w:t>
      </w:r>
    </w:p>
    <w:p w:rsidR="002915E0" w:rsidRPr="002915E0" w:rsidRDefault="002915E0" w:rsidP="002915E0">
      <w:pPr>
        <w:widowControl/>
        <w:rPr>
          <w:rFonts w:ascii="Calibri" w:eastAsia="新細明體" w:hAnsi="Calibri" w:cs="Calibri"/>
          <w:color w:val="000000"/>
          <w:kern w:val="0"/>
          <w:szCs w:val="24"/>
        </w:rPr>
      </w:pPr>
      <w:r w:rsidRPr="002915E0">
        <w:rPr>
          <w:rFonts w:ascii="微軟正黑體" w:eastAsia="微軟正黑體" w:hAnsi="微軟正黑體" w:cs="Calibri" w:hint="eastAsia"/>
          <w:color w:val="000000"/>
          <w:kern w:val="0"/>
          <w:szCs w:val="24"/>
        </w:rPr>
        <w:t>若有疑問請先參閱下列FAQ說明或郵件通知，如尚有其他疑問，請一律利用下列信箱聯繫：</w:t>
      </w:r>
    </w:p>
    <w:p w:rsidR="002915E0" w:rsidRPr="002915E0" w:rsidRDefault="002915E0" w:rsidP="002915E0">
      <w:pPr>
        <w:widowControl/>
        <w:rPr>
          <w:rFonts w:ascii="Calibri" w:eastAsia="新細明體" w:hAnsi="Calibri" w:cs="Calibri"/>
          <w:color w:val="000000"/>
          <w:kern w:val="0"/>
          <w:szCs w:val="24"/>
        </w:rPr>
      </w:pPr>
      <w:r w:rsidRPr="002915E0">
        <w:rPr>
          <w:rFonts w:ascii="微軟正黑體" w:eastAsia="微軟正黑體" w:hAnsi="微軟正黑體" w:cs="Calibri" w:hint="eastAsia"/>
          <w:color w:val="000000"/>
          <w:kern w:val="0"/>
          <w:szCs w:val="24"/>
        </w:rPr>
        <w:t>富邦金控永續發展部信箱：</w:t>
      </w:r>
      <w:hyperlink r:id="rId7" w:tgtFrame="new_win" w:history="1">
        <w:r w:rsidRPr="002915E0">
          <w:rPr>
            <w:rFonts w:ascii="Calibri" w:eastAsia="新細明體" w:hAnsi="Calibri" w:cs="Calibri"/>
            <w:color w:val="0563C1"/>
            <w:kern w:val="0"/>
            <w:szCs w:val="24"/>
          </w:rPr>
          <w:t>csr.fhc@fubon.com</w:t>
        </w:r>
      </w:hyperlink>
    </w:p>
    <w:p w:rsidR="002915E0" w:rsidRPr="002915E0" w:rsidRDefault="002915E0" w:rsidP="002915E0">
      <w:pPr>
        <w:widowControl/>
        <w:shd w:val="clear" w:color="auto" w:fill="FFFFFF"/>
        <w:rPr>
          <w:rFonts w:ascii="新細明體" w:eastAsia="新細明體" w:hAnsi="新細明體" w:cs="Times New Roman"/>
          <w:color w:val="000000"/>
          <w:kern w:val="0"/>
          <w:szCs w:val="24"/>
        </w:rPr>
      </w:pPr>
      <w:r w:rsidRPr="002915E0">
        <w:rPr>
          <w:rFonts w:ascii="微軟正黑體" w:eastAsia="微軟正黑體" w:hAnsi="微軟正黑體" w:cs="Times New Roman" w:hint="eastAsia"/>
          <w:color w:val="000000"/>
          <w:kern w:val="0"/>
          <w:szCs w:val="24"/>
        </w:rPr>
        <w:t>富邦慈善基金會信箱：</w:t>
      </w:r>
      <w:r w:rsidRPr="002915E0">
        <w:rPr>
          <w:rFonts w:ascii="Calibri" w:eastAsia="新細明體" w:hAnsi="Calibri" w:cs="Calibri"/>
          <w:color w:val="0563C1"/>
          <w:kern w:val="0"/>
          <w:szCs w:val="24"/>
          <w:u w:val="single"/>
        </w:rPr>
        <w:t>charity@fubon.com</w:t>
      </w:r>
    </w:p>
    <w:p w:rsidR="002915E0" w:rsidRPr="002915E0" w:rsidRDefault="002915E0" w:rsidP="002915E0">
      <w:pPr>
        <w:widowControl/>
        <w:rPr>
          <w:rFonts w:ascii="Calibri" w:eastAsia="新細明體" w:hAnsi="Calibri" w:cs="Calibri"/>
          <w:color w:val="000000"/>
          <w:kern w:val="0"/>
          <w:szCs w:val="24"/>
        </w:rPr>
      </w:pPr>
      <w:r w:rsidRPr="002915E0">
        <w:rPr>
          <w:rFonts w:ascii="Calibri" w:eastAsia="新細明體" w:hAnsi="Calibri" w:cs="Calibri"/>
          <w:color w:val="000000"/>
          <w:kern w:val="0"/>
          <w:szCs w:val="24"/>
        </w:rPr>
        <w:t> </w:t>
      </w:r>
    </w:p>
    <w:p w:rsidR="002915E0" w:rsidRPr="002915E0" w:rsidRDefault="002915E0" w:rsidP="002915E0">
      <w:pPr>
        <w:widowControl/>
        <w:rPr>
          <w:rFonts w:ascii="Calibri" w:eastAsia="新細明體" w:hAnsi="Calibri" w:cs="Calibri"/>
          <w:color w:val="000000"/>
          <w:kern w:val="0"/>
          <w:szCs w:val="24"/>
        </w:rPr>
      </w:pPr>
      <w:r w:rsidRPr="002915E0">
        <w:rPr>
          <w:rFonts w:ascii="Calibri" w:eastAsia="新細明體" w:hAnsi="Calibri" w:cs="Calibri"/>
          <w:noProof/>
          <w:color w:val="000000"/>
          <w:kern w:val="0"/>
          <w:szCs w:val="24"/>
        </w:rPr>
        <w:lastRenderedPageBreak/>
        <mc:AlternateContent>
          <mc:Choice Requires="wps">
            <w:drawing>
              <wp:inline distT="0" distB="0" distL="0" distR="0">
                <wp:extent cx="7620000" cy="10637520"/>
                <wp:effectExtent l="0" t="0" r="0" b="0"/>
                <wp:docPr id="1" name="矩形 1" descr="https://dragon.nchu.edu.tw/cgi-bin/downfile/9201431771821_tmp1I.png/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0" cy="1063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467924" id="矩形 1" o:spid="_x0000_s1026" alt="https://dragon.nchu.edu.tw/cgi-bin/downfile/9201431771821_tmp1I.png/image001.png" style="width:600pt;height:83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" filled="f" stroked="f">
                <o:lock v:ext="edit" aspectratio="t"/>
                <w10:anchorlock/>
              </v:rect>
            </w:pict>
          </mc:Fallback>
        </mc:AlternateContent>
      </w:r>
    </w:p>
    <w:p w:rsidR="00C93DED" w:rsidRDefault="002915E0" w:rsidP="002915E0">
      <w:r w:rsidRPr="002915E0">
        <w:rPr>
          <w:rFonts w:ascii="細明體" w:eastAsia="細明體" w:hAnsi="細明體" w:cs="新細明體"/>
          <w:color w:val="000000"/>
          <w:kern w:val="0"/>
          <w:sz w:val="27"/>
          <w:szCs w:val="27"/>
        </w:rPr>
        <w:lastRenderedPageBreak/>
        <w:t>本郵件之資訊可能含有機密或特殊管制之資料，僅供指定之收件人使用。若台端非本郵件所指定之收件人，請立即刪除本郵件並通知寄件者。若郵件內容涉及有價證券或金融商品之資訊，其不構成要約、招攬或銷售之任何表示，亦不保證任何收益。網路通訊無法保證本郵件之安全性，若因此造成任何損害，寄件人恕不負責。This email is intended solely for the use of the addressee and may contain confidential and privileged information. If you have received this email in error, please delete the email and notify the sender immediately. If any information contained in this email involves any securities or financial products, it shall not be construed as an offer, solicitation or sale thereof, nor shall it guarantee any earnings. Internet communications cannot be guaranteed to be secure or virus-free; the sender accepts no liability for any errors or omissions.</w:t>
      </w:r>
    </w:p>
    <w:sectPr w:rsidR="00C93DE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CF7" w:rsidRDefault="00132CF7" w:rsidP="00132CF7">
      <w:r>
        <w:separator/>
      </w:r>
    </w:p>
  </w:endnote>
  <w:endnote w:type="continuationSeparator" w:id="0">
    <w:p w:rsidR="00132CF7" w:rsidRDefault="00132CF7" w:rsidP="0013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CF7" w:rsidRDefault="00132CF7" w:rsidP="00132CF7">
      <w:r>
        <w:separator/>
      </w:r>
    </w:p>
  </w:footnote>
  <w:footnote w:type="continuationSeparator" w:id="0">
    <w:p w:rsidR="00132CF7" w:rsidRDefault="00132CF7" w:rsidP="00132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E0"/>
    <w:rsid w:val="00132CF7"/>
    <w:rsid w:val="002915E0"/>
    <w:rsid w:val="00C93DED"/>
    <w:rsid w:val="00CE4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1959B6-73B8-4EFE-B168-85C9DA13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915E0"/>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2915E0"/>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semiHidden/>
    <w:unhideWhenUsed/>
    <w:rsid w:val="002915E0"/>
  </w:style>
  <w:style w:type="paragraph" w:styleId="a5">
    <w:name w:val="header"/>
    <w:basedOn w:val="a"/>
    <w:link w:val="a6"/>
    <w:uiPriority w:val="99"/>
    <w:unhideWhenUsed/>
    <w:rsid w:val="00132CF7"/>
    <w:pPr>
      <w:tabs>
        <w:tab w:val="center" w:pos="4153"/>
        <w:tab w:val="right" w:pos="8306"/>
      </w:tabs>
      <w:snapToGrid w:val="0"/>
    </w:pPr>
    <w:rPr>
      <w:sz w:val="20"/>
      <w:szCs w:val="20"/>
    </w:rPr>
  </w:style>
  <w:style w:type="character" w:customStyle="1" w:styleId="a6">
    <w:name w:val="頁首 字元"/>
    <w:basedOn w:val="a0"/>
    <w:link w:val="a5"/>
    <w:uiPriority w:val="99"/>
    <w:rsid w:val="00132CF7"/>
    <w:rPr>
      <w:sz w:val="20"/>
      <w:szCs w:val="20"/>
    </w:rPr>
  </w:style>
  <w:style w:type="paragraph" w:styleId="a7">
    <w:name w:val="footer"/>
    <w:basedOn w:val="a"/>
    <w:link w:val="a8"/>
    <w:uiPriority w:val="99"/>
    <w:unhideWhenUsed/>
    <w:rsid w:val="00132CF7"/>
    <w:pPr>
      <w:tabs>
        <w:tab w:val="center" w:pos="4153"/>
        <w:tab w:val="right" w:pos="8306"/>
      </w:tabs>
      <w:snapToGrid w:val="0"/>
    </w:pPr>
    <w:rPr>
      <w:sz w:val="20"/>
      <w:szCs w:val="20"/>
    </w:rPr>
  </w:style>
  <w:style w:type="character" w:customStyle="1" w:styleId="a8">
    <w:name w:val="頁尾 字元"/>
    <w:basedOn w:val="a0"/>
    <w:link w:val="a7"/>
    <w:uiPriority w:val="99"/>
    <w:rsid w:val="00132C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65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agon.nchu.edu.tw/cgi-bin/genMail?adr=csr.fhc@fubon.com&a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boncharity.org.tw/chinese/news/h64d08ca53ba9/index/879/deta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2024-09-03T00:19:00Z</dcterms:created>
  <dcterms:modified xsi:type="dcterms:W3CDTF">2024-09-05T07:22:00Z</dcterms:modified>
</cp:coreProperties>
</file>