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C0" w:rsidRPr="004D31C0" w:rsidRDefault="004F7860" w:rsidP="00B02A75">
      <w:pPr>
        <w:widowControl/>
        <w:shd w:val="clear" w:color="auto" w:fill="FFFFFF"/>
        <w:snapToGrid w:val="0"/>
        <w:spacing w:after="100" w:afterAutospacing="1" w:line="330" w:lineRule="atLeast"/>
        <w:jc w:val="center"/>
        <w:outlineLvl w:val="2"/>
        <w:rPr>
          <w:rFonts w:ascii="標楷體" w:eastAsia="標楷體" w:hAnsi="標楷體" w:cs="新細明體"/>
          <w:b/>
          <w:color w:val="000000" w:themeColor="text1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2013</w:t>
      </w:r>
      <w:r w:rsidR="004D31C0" w:rsidRPr="004D31C0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CWT全民中檢獎學金申請辦法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申請資格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凡就讀國內公私立大專院校、高中職、國中、國小之在學生，並符合以下條件者皆可申請。 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一、大專院校組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（一）曾取得「CWT中文能力分級檢定證書」，取得時間為2012年1月1日至 2012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ind w:firstLineChars="250" w:firstLine="700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年12月31日止。 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（二）101學年度第一學期學業成績須達80分(含)以上，分數如遇小數則以四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ind w:firstLineChars="300" w:firstLine="840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捨五入進位至整數。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二、高中職組、國中組、國小組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（一）曾取得「CWT中文能力分級檢定證書」，取得時間為2012年1月1日至 2012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ind w:firstLineChars="250" w:firstLine="700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年12月31日止。 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（二）101學年度第一學期國文成績須達80分(含)以上，分數如遇小數則以四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ind w:firstLineChars="300" w:firstLine="840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捨五入進位至整數。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貳、申請期間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自2013年2月1日至3月31日止，以郵戳為憑，逾期不予受理。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參、申請程序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一、</w:t>
      </w:r>
      <w:r w:rsidRPr="004F78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  <w:highlight w:val="yellow"/>
        </w:rPr>
        <w:t>線上填寫「獎學金申請表」</w:t>
      </w: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，並依表單檢附證明文件如下：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（一） 101學年度第一學期成績單正本、在學證明書正本(或加蓋註冊章之學生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ind w:firstLineChars="350" w:firstLine="980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證影本)各乙份，以上文件皆須蓋校印或承辦處室戳章。</w:t>
      </w:r>
    </w:p>
    <w:p w:rsid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（二）「CWT中文能力分級檢定證書」影本乙份(取得時間為2012/1/1~12/31)。 </w:t>
      </w:r>
    </w:p>
    <w:p w:rsidR="00FE31D4" w:rsidRPr="004F7860" w:rsidRDefault="00FE31D4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lastRenderedPageBreak/>
        <w:t>二、備妥上述資料統一由「學校單位」以「郵局掛號」逕寄至本中心。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ind w:firstLineChars="200" w:firstLine="560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信封註明「CWT全民中檢獎學金審查委員會」收。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ind w:firstLineChars="200" w:firstLine="560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郵寄地址：10558臺北市松山區八德路三段2號6樓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[備註]申請表所填具資料須與檢附文件相符，如有缺漏、附非指定年度證書或其他文件者，將以「文件不符」處理，申請者不得異議。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肆、評比標準 </w:t>
      </w:r>
    </w:p>
    <w:p w:rsidR="00FE31D4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一、證書張數加權：計分依「優等」6分、「高等」5分、「中高等」4分、「中</w:t>
      </w:r>
    </w:p>
    <w:p w:rsidR="00FE31D4" w:rsidRDefault="004F7860" w:rsidP="00FE31D4">
      <w:pPr>
        <w:widowControl/>
        <w:shd w:val="clear" w:color="auto" w:fill="FFFFFF"/>
        <w:snapToGrid w:val="0"/>
        <w:spacing w:after="100" w:afterAutospacing="1" w:line="330" w:lineRule="atLeast"/>
        <w:ind w:firstLineChars="200" w:firstLine="560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等」3分、「初等」2分、「基礎等」1分方式計算，累積之總分做為評比</w:t>
      </w:r>
    </w:p>
    <w:p w:rsidR="00FE31D4" w:rsidRDefault="004F7860" w:rsidP="00FE31D4">
      <w:pPr>
        <w:widowControl/>
        <w:shd w:val="clear" w:color="auto" w:fill="FFFFFF"/>
        <w:snapToGrid w:val="0"/>
        <w:spacing w:after="100" w:afterAutospacing="1" w:line="330" w:lineRule="atLeast"/>
        <w:ind w:firstLineChars="200" w:firstLine="560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依據。 &lt;例&gt; A同學於2012年共考取「中高等」及「中等」兩張證書，證</w:t>
      </w:r>
    </w:p>
    <w:p w:rsidR="004F7860" w:rsidRPr="004F7860" w:rsidRDefault="004F7860" w:rsidP="00FE31D4">
      <w:pPr>
        <w:widowControl/>
        <w:shd w:val="clear" w:color="auto" w:fill="FFFFFF"/>
        <w:snapToGrid w:val="0"/>
        <w:spacing w:after="100" w:afterAutospacing="1" w:line="330" w:lineRule="atLeast"/>
        <w:ind w:firstLineChars="200" w:firstLine="560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書加權分數即為4分+3分=7分</w:t>
      </w:r>
    </w:p>
    <w:p w:rsidR="00FE31D4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二、證書加權總分相同時，優先以CWT認證之語文素養成績進行評比，餘依次</w:t>
      </w:r>
    </w:p>
    <w:p w:rsidR="00FE31D4" w:rsidRDefault="004F7860" w:rsidP="00FE31D4">
      <w:pPr>
        <w:widowControl/>
        <w:shd w:val="clear" w:color="auto" w:fill="FFFFFF"/>
        <w:snapToGrid w:val="0"/>
        <w:spacing w:after="100" w:afterAutospacing="1" w:line="330" w:lineRule="atLeast"/>
        <w:ind w:firstLineChars="200" w:firstLine="560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評比CWT認證之寫作成績（如該年度取得兩張以上之證書，檢定相關成績</w:t>
      </w:r>
    </w:p>
    <w:p w:rsidR="00FE31D4" w:rsidRDefault="004F7860" w:rsidP="00FE31D4">
      <w:pPr>
        <w:widowControl/>
        <w:shd w:val="clear" w:color="auto" w:fill="FFFFFF"/>
        <w:snapToGrid w:val="0"/>
        <w:spacing w:after="100" w:afterAutospacing="1" w:line="330" w:lineRule="atLeast"/>
        <w:ind w:firstLineChars="200" w:firstLine="560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將以平均數計算)，經評比後若成績依舊相同，主辦單位將討論並公告是否</w:t>
      </w:r>
    </w:p>
    <w:p w:rsidR="004F7860" w:rsidRPr="004F7860" w:rsidRDefault="004F7860" w:rsidP="00FE31D4">
      <w:pPr>
        <w:widowControl/>
        <w:shd w:val="clear" w:color="auto" w:fill="FFFFFF"/>
        <w:snapToGrid w:val="0"/>
        <w:spacing w:after="100" w:afterAutospacing="1" w:line="330" w:lineRule="atLeast"/>
        <w:ind w:firstLineChars="200" w:firstLine="560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增額錄取。 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&lt;例&gt; 如A同學和B同學於2012皆考取「中高等」及「中等」兩張證書，證書加權分數同為7分，第二階段將優先比較兩人之語文素養成績(「中高等」語文素養成績+「中等」語文素養成績÷2=語文素養平均成績來採計)，如分數依舊相同再依此原則比較寫作成績。(以此類推) </w:t>
      </w:r>
    </w:p>
    <w:p w:rsidR="004F7860" w:rsidRPr="00FE31D4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</w:pPr>
      <w:r w:rsidRPr="00FE31D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FE31D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[備註]在校之學業/國文成績僅為申請門檻，不列入評比依據 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伍、全國錄取名額與獎勵方式</w:t>
      </w:r>
      <w:bookmarkStart w:id="0" w:name="_GoBack"/>
      <w:bookmarkEnd w:id="0"/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一、國小中年級組(國小三、四年級)：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　　每名獎學金新台幣1000元，獎狀乙只，預計錄取30名。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二、國小高年級組(國小五、六年級)：　　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　　每名獎學金新台幣1000元，獎狀乙只，預計錄取30名。 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lastRenderedPageBreak/>
        <w:t>三、國中組：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　　每名獎學金新台幣1000元，獎狀乙只，預計錄取60名。 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四、高中職組：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　　每名獎學金新台幣1000元，獎狀乙只，預計錄取60名。 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五、大專院校組：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　　每名獎學金新台幣1000元，獎狀乙只，預計錄取60名。 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[備註]主辦單位將頒贈每一位獲獎者之指導老師感謝狀乙張。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陸、得獎名單公告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各獎項將於2013年4月30日於網頁公告，並由各校於公開場合頒發獎狀並張貼海報表揚。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柒、注意事項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一、申請者逾期申請、文件不齊或資料不符合者，不予審核；申請人所繳文件恕不予退還。 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二、獲獎者需繳交500字之獲獎心得，並同意與授獎照片分享於本會網站。 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三、錄取者，將於網路公告並以E-mail同步通知，請務必留下正確資料；經正式通知後兩週內未寄回「獲獎心得」、「領據」及「匯款資料」時，視同放棄資格。 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四、經身分確認無誤後，兩週內獎學金將採親送或電匯方式發放。 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五、本活動相關訊息皆發布於CWT官網，網址為https://www.cwt.org.tw/scholarship/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六、各區推廣中心洽詢專線　　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　　北區：(02)2577-8806轉749 　　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  </w:t>
      </w: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中區：(04)2238-6572轉428 　　</w:t>
      </w:r>
    </w:p>
    <w:p w:rsidR="004F7860" w:rsidRPr="004F7860" w:rsidRDefault="004F7860" w:rsidP="004F7860">
      <w:pPr>
        <w:widowControl/>
        <w:shd w:val="clear" w:color="auto" w:fill="FFFFFF"/>
        <w:snapToGrid w:val="0"/>
        <w:spacing w:after="100" w:afterAutospacing="1" w:line="330" w:lineRule="atLeast"/>
        <w:outlineLvl w:val="2"/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</w:pPr>
      <w:r w:rsidRPr="004F786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 xml:space="preserve">　　南區：(07)311-9568轉722 </w:t>
      </w:r>
    </w:p>
    <w:sectPr w:rsidR="004F7860" w:rsidRPr="004F7860" w:rsidSect="004D31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605E"/>
    <w:multiLevelType w:val="multilevel"/>
    <w:tmpl w:val="6902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C0"/>
    <w:rsid w:val="0003663A"/>
    <w:rsid w:val="000601F3"/>
    <w:rsid w:val="0007507A"/>
    <w:rsid w:val="000772D8"/>
    <w:rsid w:val="00092639"/>
    <w:rsid w:val="000B2474"/>
    <w:rsid w:val="000B2F46"/>
    <w:rsid w:val="000B669F"/>
    <w:rsid w:val="000C11C3"/>
    <w:rsid w:val="000F4B66"/>
    <w:rsid w:val="00123E00"/>
    <w:rsid w:val="00140636"/>
    <w:rsid w:val="001467CB"/>
    <w:rsid w:val="001513AE"/>
    <w:rsid w:val="001561F6"/>
    <w:rsid w:val="001606C1"/>
    <w:rsid w:val="00166E9E"/>
    <w:rsid w:val="00170E6D"/>
    <w:rsid w:val="00186EA6"/>
    <w:rsid w:val="001B240E"/>
    <w:rsid w:val="001C3C46"/>
    <w:rsid w:val="001D45BB"/>
    <w:rsid w:val="001E0A67"/>
    <w:rsid w:val="001F4256"/>
    <w:rsid w:val="001F472E"/>
    <w:rsid w:val="00220536"/>
    <w:rsid w:val="00231112"/>
    <w:rsid w:val="002341D5"/>
    <w:rsid w:val="0023513D"/>
    <w:rsid w:val="002430D5"/>
    <w:rsid w:val="0025271E"/>
    <w:rsid w:val="002652F0"/>
    <w:rsid w:val="00270105"/>
    <w:rsid w:val="002712C1"/>
    <w:rsid w:val="00281F4A"/>
    <w:rsid w:val="00286F38"/>
    <w:rsid w:val="0031347D"/>
    <w:rsid w:val="0033607F"/>
    <w:rsid w:val="0034090A"/>
    <w:rsid w:val="00342A86"/>
    <w:rsid w:val="003618FF"/>
    <w:rsid w:val="003642AF"/>
    <w:rsid w:val="003668EE"/>
    <w:rsid w:val="0038067D"/>
    <w:rsid w:val="0039143D"/>
    <w:rsid w:val="003B2ACE"/>
    <w:rsid w:val="003E4924"/>
    <w:rsid w:val="00412D35"/>
    <w:rsid w:val="004614E1"/>
    <w:rsid w:val="00470B49"/>
    <w:rsid w:val="00490140"/>
    <w:rsid w:val="004914B7"/>
    <w:rsid w:val="00492F1B"/>
    <w:rsid w:val="004D31C0"/>
    <w:rsid w:val="004F7860"/>
    <w:rsid w:val="00547F3B"/>
    <w:rsid w:val="00552566"/>
    <w:rsid w:val="005548ED"/>
    <w:rsid w:val="005B29F0"/>
    <w:rsid w:val="005D2EA0"/>
    <w:rsid w:val="005E631A"/>
    <w:rsid w:val="005F39F1"/>
    <w:rsid w:val="005F3DE2"/>
    <w:rsid w:val="005F5206"/>
    <w:rsid w:val="005F67A3"/>
    <w:rsid w:val="0063732A"/>
    <w:rsid w:val="00664A5B"/>
    <w:rsid w:val="0067119F"/>
    <w:rsid w:val="0069019B"/>
    <w:rsid w:val="006915DD"/>
    <w:rsid w:val="006B4D15"/>
    <w:rsid w:val="006D239F"/>
    <w:rsid w:val="006E139A"/>
    <w:rsid w:val="00713C2F"/>
    <w:rsid w:val="0072785F"/>
    <w:rsid w:val="00736626"/>
    <w:rsid w:val="007938DE"/>
    <w:rsid w:val="00811498"/>
    <w:rsid w:val="00844F4F"/>
    <w:rsid w:val="00845D59"/>
    <w:rsid w:val="00862665"/>
    <w:rsid w:val="00894684"/>
    <w:rsid w:val="008B1074"/>
    <w:rsid w:val="00965B11"/>
    <w:rsid w:val="00970B8C"/>
    <w:rsid w:val="00976738"/>
    <w:rsid w:val="009819B4"/>
    <w:rsid w:val="009929C0"/>
    <w:rsid w:val="00A01550"/>
    <w:rsid w:val="00A20968"/>
    <w:rsid w:val="00A264A4"/>
    <w:rsid w:val="00A30009"/>
    <w:rsid w:val="00A32B85"/>
    <w:rsid w:val="00A8667C"/>
    <w:rsid w:val="00A878BF"/>
    <w:rsid w:val="00AB4DC9"/>
    <w:rsid w:val="00AB6555"/>
    <w:rsid w:val="00AE091D"/>
    <w:rsid w:val="00AF4820"/>
    <w:rsid w:val="00AF6A53"/>
    <w:rsid w:val="00B02A75"/>
    <w:rsid w:val="00B20FE8"/>
    <w:rsid w:val="00B462E8"/>
    <w:rsid w:val="00B505B3"/>
    <w:rsid w:val="00B55E74"/>
    <w:rsid w:val="00B751FA"/>
    <w:rsid w:val="00C01E63"/>
    <w:rsid w:val="00C235B8"/>
    <w:rsid w:val="00C37451"/>
    <w:rsid w:val="00D0607B"/>
    <w:rsid w:val="00D226AD"/>
    <w:rsid w:val="00D2515F"/>
    <w:rsid w:val="00D33AF4"/>
    <w:rsid w:val="00D36591"/>
    <w:rsid w:val="00D5094E"/>
    <w:rsid w:val="00D56352"/>
    <w:rsid w:val="00D84BBF"/>
    <w:rsid w:val="00D84CBB"/>
    <w:rsid w:val="00DD6F0F"/>
    <w:rsid w:val="00E034E4"/>
    <w:rsid w:val="00E10C27"/>
    <w:rsid w:val="00E26DDE"/>
    <w:rsid w:val="00E26E64"/>
    <w:rsid w:val="00E3251B"/>
    <w:rsid w:val="00E3654F"/>
    <w:rsid w:val="00E373B2"/>
    <w:rsid w:val="00E42766"/>
    <w:rsid w:val="00E52E67"/>
    <w:rsid w:val="00E57004"/>
    <w:rsid w:val="00E84027"/>
    <w:rsid w:val="00EC20E9"/>
    <w:rsid w:val="00EE44BE"/>
    <w:rsid w:val="00EF0FB8"/>
    <w:rsid w:val="00F451BA"/>
    <w:rsid w:val="00F662D3"/>
    <w:rsid w:val="00F8264D"/>
    <w:rsid w:val="00FA2362"/>
    <w:rsid w:val="00FA29DE"/>
    <w:rsid w:val="00FB6570"/>
    <w:rsid w:val="00FB6965"/>
    <w:rsid w:val="00FE239F"/>
    <w:rsid w:val="00FE31D4"/>
    <w:rsid w:val="00FF2022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1C0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4D31C0"/>
    <w:rPr>
      <w:b/>
      <w:bCs/>
    </w:rPr>
  </w:style>
  <w:style w:type="character" w:customStyle="1" w:styleId="redtxt1">
    <w:name w:val="red_txt1"/>
    <w:basedOn w:val="a0"/>
    <w:rsid w:val="004D31C0"/>
    <w:rPr>
      <w:color w:val="FF0000"/>
    </w:rPr>
  </w:style>
  <w:style w:type="paragraph" w:styleId="a5">
    <w:name w:val="Balloon Text"/>
    <w:basedOn w:val="a"/>
    <w:link w:val="a6"/>
    <w:uiPriority w:val="99"/>
    <w:semiHidden/>
    <w:unhideWhenUsed/>
    <w:rsid w:val="004D3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D31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1C0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4D31C0"/>
    <w:rPr>
      <w:b/>
      <w:bCs/>
    </w:rPr>
  </w:style>
  <w:style w:type="character" w:customStyle="1" w:styleId="redtxt1">
    <w:name w:val="red_txt1"/>
    <w:basedOn w:val="a0"/>
    <w:rsid w:val="004D31C0"/>
    <w:rPr>
      <w:color w:val="FF0000"/>
    </w:rPr>
  </w:style>
  <w:style w:type="paragraph" w:styleId="a5">
    <w:name w:val="Balloon Text"/>
    <w:basedOn w:val="a"/>
    <w:link w:val="a6"/>
    <w:uiPriority w:val="99"/>
    <w:semiHidden/>
    <w:unhideWhenUsed/>
    <w:rsid w:val="004D3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D31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159">
              <w:marLeft w:val="315"/>
              <w:marRight w:val="31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2234">
                      <w:marLeft w:val="30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883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866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759A61"/>
                            <w:right w:val="none" w:sz="0" w:space="0" w:color="auto"/>
                          </w:divBdr>
                        </w:div>
                        <w:div w:id="327444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759A61"/>
                            <w:right w:val="none" w:sz="0" w:space="0" w:color="auto"/>
                          </w:divBdr>
                        </w:div>
                        <w:div w:id="6741113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759A61"/>
                            <w:right w:val="none" w:sz="0" w:space="0" w:color="auto"/>
                          </w:divBdr>
                        </w:div>
                        <w:div w:id="1670055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759A61"/>
                            <w:right w:val="none" w:sz="0" w:space="0" w:color="auto"/>
                          </w:divBdr>
                        </w:div>
                        <w:div w:id="11684423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759A61"/>
                            <w:right w:val="none" w:sz="0" w:space="0" w:color="auto"/>
                          </w:divBdr>
                        </w:div>
                        <w:div w:id="395856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759A6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2012-02-29T10:40:00Z</dcterms:created>
  <dcterms:modified xsi:type="dcterms:W3CDTF">2013-01-23T09:04:00Z</dcterms:modified>
</cp:coreProperties>
</file>